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960"/>
        <w:jc w:val="center"/>
      </w:pPr>
      <w:r>
        <w:drawing>
          <wp:inline xmlns:a="http://schemas.openxmlformats.org/drawingml/2006/main" xmlns:pic="http://schemas.openxmlformats.org/drawingml/2006/picture">
            <wp:extent cx="1234440" cy="628977"/>
            <wp:docPr id="1" name="Picture 1" descr="SerialLabs logotyp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6289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rFonts w:ascii="Calibri" w:hAnsi="Calibri" w:eastAsia="Calibri"/>
          <w:b/>
          <w:color w:val="147E91"/>
          <w:sz w:val="19"/>
        </w:rPr>
        <w:t>SERIALLABS / PATTERN-TO-PRODUCT</w:t>
      </w:r>
    </w:p>
    <w:p>
      <w:pPr>
        <w:spacing w:after="260"/>
        <w:ind w:left="360" w:right="360"/>
        <w:jc w:val="center"/>
      </w:pPr>
      <w:r>
        <w:rPr>
          <w:rFonts w:ascii="Georgia" w:hAnsi="Georgia" w:eastAsia="Georgia"/>
          <w:b/>
          <w:color w:val="0B1E2D"/>
          <w:sz w:val="54"/>
        </w:rPr>
        <w:t>FROM RECURRING FRICTION TO AN EVIDENCE-BACKED DECISION</w:t>
      </w:r>
    </w:p>
    <w:p>
      <w:pPr>
        <w:spacing w:after="400"/>
        <w:ind w:left="576" w:right="576"/>
        <w:jc w:val="center"/>
      </w:pPr>
      <w:r>
        <w:rPr>
          <w:rFonts w:ascii="Calibri" w:hAnsi="Calibri" w:eastAsia="Calibri"/>
          <w:color w:val="5B6972"/>
          <w:sz w:val="28"/>
          <w:lang w:val="en-GB"/>
        </w:rPr>
        <w:t>A Pattern-to-Product field guide for COO and CFO leaders, with a secondary lens for product and innovation teams</w:t>
      </w:r>
    </w:p>
    <w:p>
      <w:pPr>
        <w:spacing w:after="640"/>
        <w:jc w:val="center"/>
      </w:pPr>
      <w:r>
        <w:rPr>
          <w:rFonts w:ascii="Calibri" w:hAnsi="Calibri" w:eastAsia="Calibri"/>
          <w:b/>
          <w:color w:val="A37925"/>
          <w:sz w:val="19"/>
        </w:rPr>
        <w:t>EXECUTIVE FIELD GUIDE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EDF4F6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200" w:after="200"/>
              <w:jc w:val="center"/>
            </w:pPr>
            <w:r>
              <w:rPr>
                <w:rFonts w:ascii="Calibri" w:hAnsi="Calibri" w:eastAsia="Calibri"/>
                <w:color w:val="0B1E2D"/>
                <w:sz w:val="23"/>
                <w:lang w:val="en-GB"/>
              </w:rPr>
              <w:t>Recurring work is a signal to investigate. Productisation is a capital-allocation decision that must be earned by evidence.</w:t>
            </w:r>
          </w:p>
        </w:tc>
      </w:tr>
    </w:tbl>
    <w:p>
      <w:pPr>
        <w:spacing w:before="840" w:after="60"/>
        <w:jc w:val="center"/>
      </w:pPr>
      <w:r>
        <w:rPr>
          <w:rFonts w:ascii="Calibri" w:hAnsi="Calibri" w:eastAsia="Calibri"/>
          <w:b/>
          <w:color w:val="0B1E2D"/>
          <w:sz w:val="19"/>
        </w:rPr>
        <w:t>VERSION 1.1 / 27 AUGUST 2026</w:t>
      </w:r>
    </w:p>
    <w:p>
      <w:pPr>
        <w:jc w:val="center"/>
      </w:pPr>
      <w:r>
        <w:rPr>
          <w:rFonts w:ascii="Calibri" w:hAnsi="Calibri" w:eastAsia="Calibri"/>
          <w:color w:val="5B6972"/>
          <w:sz w:val="19"/>
        </w:rPr>
        <w:t>Prepared by SerialLabs</w:t>
      </w:r>
    </w:p>
    <w:p>
      <w:r>
        <w:br w:type="page"/>
      </w:r>
    </w:p>
    <w:p>
      <w:pPr>
        <w:spacing w:after="100"/>
      </w:pPr>
      <w:r>
        <w:rPr>
          <w:rFonts w:ascii="Calibri" w:hAnsi="Calibri" w:eastAsia="Calibri"/>
          <w:b/>
          <w:color w:val="147E91"/>
          <w:sz w:val="17"/>
        </w:rPr>
        <w:t>01 / START WITH THE WORK</w:t>
      </w:r>
    </w:p>
    <w:p>
      <w:pPr>
        <w:pStyle w:val="Heading1"/>
        <w:pageBreakBefore w:val="0"/>
        <w:spacing w:after="240"/>
      </w:pPr>
      <w:r>
        <w:rPr>
          <w:rFonts w:ascii="Calibri" w:hAnsi="Calibri" w:eastAsia="Calibri"/>
          <w:color w:val="0B1E2D"/>
          <w:sz w:val="44"/>
          <w:lang w:val="en-GB"/>
        </w:rPr>
        <w:t>The executive decision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shd w:fill="EDF4F6"/>
            <w:tcBorders>
              <w:top w:val="single" w:sz="6" w:color="18AFC9"/>
              <w:left w:val="single" w:sz="6" w:color="18AFC9"/>
              <w:bottom w:val="single" w:sz="6" w:color="18AFC9"/>
              <w:right w:val="single" w:sz="6" w:color="18AFC9"/>
              <w:insideH w:val="single" w:sz="6" w:color="18AFC9"/>
              <w:insideV w:val="single" w:sz="6" w:color="18AFC9"/>
            </w:tcBorders>
          </w:tcPr>
          <w:p>
            <w:pPr>
              <w:pStyle w:val="WPQuote"/>
              <w:jc w:val="left"/>
            </w:pPr>
            <w:r>
              <w:rPr>
                <w:rFonts w:ascii="Calibri" w:hAnsi="Calibri" w:eastAsia="Calibri"/>
                <w:color w:val="0B1E2D"/>
                <w:sz w:val="24"/>
                <w:lang w:val="en-GB"/>
              </w:rPr>
              <w:t>When should a recurring operational problem become a bounded system — and when should that system become a reusable capability or owned product?</w:t>
            </w:r>
          </w:p>
        </w:tc>
      </w:tr>
    </w:tbl>
    <w:p>
      <w:pPr>
        <w:spacing w:after="40"/>
      </w:pPr>
    </w:p>
    <w:p>
      <w:pPr>
        <w:spacing w:after="140" w:line="283" w:lineRule="auto"/>
      </w:pPr>
      <w:r>
        <w:rPr>
          <w:rFonts w:ascii="Calibri" w:hAnsi="Calibri" w:eastAsia="Calibri"/>
          <w:color w:val="11181C"/>
          <w:sz w:val="20"/>
          <w:lang w:val="en-GB"/>
        </w:rPr>
        <w:t>Pattern-to-Product is a decision method for recurring exceptions, delayed decisions, fragmented evidence, manual coordination and local workarounds. It starts with one material process. It does not assume that repetition proves a market.</w:t>
      </w:r>
    </w:p>
    <w:p>
      <w:pPr>
        <w:pStyle w:val="Heading2"/>
        <w:spacing w:before="200" w:after="100"/>
      </w:pPr>
      <w:r>
        <w:rPr>
          <w:rFonts w:ascii="Calibri" w:hAnsi="Calibri" w:eastAsia="Calibri"/>
          <w:color w:val="147E91"/>
          <w:sz w:val="27"/>
          <w:lang w:val="en-GB"/>
        </w:rPr>
        <w:t>Four questions for an operating or financial owner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Question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What a defensible answer requires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Is the friction structurally recurring?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Repeated trigger, decision, action and outcome relations — not merely a common label.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Can a bounded intervention change the result?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Baseline, threshold, observation period, human authority and a stop rule agreed before results are seen.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What can travel?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 stable core separated from local data, integration, policy, language and operating roles.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Should we own a product?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Independent demand, safe rights, supportability, distribution and economics — not technical completion alone.</w:t>
            </w:r>
          </w:p>
        </w:tc>
      </w:tr>
    </w:tbl>
    <w:p>
      <w:pPr>
        <w:spacing w:after="20" w:before="0"/>
      </w:pPr>
    </w:p>
    <w:p>
      <w:pPr>
        <w:pStyle w:val="Heading2"/>
        <w:spacing w:before="200" w:after="100"/>
      </w:pPr>
      <w:r>
        <w:rPr>
          <w:rFonts w:ascii="Calibri" w:hAnsi="Calibri" w:eastAsia="Calibri"/>
          <w:color w:val="147E91"/>
          <w:sz w:val="27"/>
          <w:lang w:val="en-GB"/>
        </w:rPr>
        <w:t>What the method can decide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b/>
          <w:color w:val="11181C"/>
          <w:sz w:val="19"/>
          <w:lang w:val="en-GB"/>
        </w:rPr>
        <w:t>Stop</w:t>
      </w:r>
      <w:r>
        <w:rPr>
          <w:rFonts w:ascii="Calibri" w:hAnsi="Calibri" w:eastAsia="Calibri"/>
          <w:color w:val="11181C"/>
          <w:sz w:val="19"/>
          <w:lang w:val="en-GB"/>
        </w:rPr>
        <w:t xml:space="preserve"> when the pattern, result, rights or economics do not support further commitment.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b/>
          <w:color w:val="11181C"/>
          <w:sz w:val="19"/>
          <w:lang w:val="en-GB"/>
        </w:rPr>
        <w:t>Investigate</w:t>
      </w:r>
      <w:r>
        <w:rPr>
          <w:rFonts w:ascii="Calibri" w:hAnsi="Calibri" w:eastAsia="Calibri"/>
          <w:color w:val="11181C"/>
          <w:sz w:val="19"/>
          <w:lang w:val="en-GB"/>
        </w:rPr>
        <w:t xml:space="preserve"> a named evidence gap with an owner, test and expiry date.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b/>
          <w:color w:val="11181C"/>
          <w:sz w:val="19"/>
          <w:lang w:val="en-GB"/>
        </w:rPr>
        <w:t>Reuse internally</w:t>
      </w:r>
      <w:r>
        <w:rPr>
          <w:rFonts w:ascii="Calibri" w:hAnsi="Calibri" w:eastAsia="Calibri"/>
          <w:color w:val="11181C"/>
          <w:sz w:val="19"/>
          <w:lang w:val="en-GB"/>
        </w:rPr>
        <w:t xml:space="preserve"> when capability value exists without an independent market claim.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b/>
          <w:color w:val="11181C"/>
          <w:sz w:val="19"/>
          <w:lang w:val="en-GB"/>
        </w:rPr>
        <w:t>Productise</w:t>
      </w:r>
      <w:r>
        <w:rPr>
          <w:rFonts w:ascii="Calibri" w:hAnsi="Calibri" w:eastAsia="Calibri"/>
          <w:color w:val="11181C"/>
          <w:sz w:val="19"/>
          <w:lang w:val="en-GB"/>
        </w:rPr>
        <w:t xml:space="preserve"> only when all gates are supported.</w:t>
      </w:r>
    </w:p>
    <w:p>
      <w:r>
        <w:br w:type="page"/>
      </w:r>
    </w:p>
    <w:p>
      <w:pPr>
        <w:spacing w:after="100"/>
      </w:pPr>
      <w:r>
        <w:rPr>
          <w:rFonts w:ascii="Calibri" w:hAnsi="Calibri" w:eastAsia="Calibri"/>
          <w:b/>
          <w:color w:val="147E91"/>
          <w:sz w:val="17"/>
        </w:rPr>
        <w:t>02 / WORKED ANATOMY</w:t>
      </w:r>
    </w:p>
    <w:p>
      <w:pPr>
        <w:pStyle w:val="Heading1"/>
        <w:pageBreakBefore w:val="0"/>
        <w:spacing w:after="240"/>
      </w:pPr>
      <w:r>
        <w:rPr>
          <w:rFonts w:ascii="Calibri" w:hAnsi="Calibri" w:eastAsia="Calibri"/>
          <w:color w:val="0B1E2D"/>
          <w:sz w:val="44"/>
          <w:lang w:val="en-GB"/>
        </w:rPr>
        <w:t>A pattern is more than a dashboard</w:t>
      </w:r>
    </w:p>
    <w:p>
      <w:pPr>
        <w:spacing w:after="140" w:line="283" w:lineRule="auto"/>
      </w:pPr>
      <w:r>
        <w:rPr>
          <w:rFonts w:ascii="Calibri" w:hAnsi="Calibri" w:eastAsia="Calibri"/>
          <w:color w:val="11181C"/>
          <w:sz w:val="20"/>
          <w:lang w:val="en-GB"/>
        </w:rPr>
        <w:t xml:space="preserve">Illustrative journey: </w:t>
      </w:r>
      <w:r>
        <w:rPr>
          <w:rFonts w:ascii="Calibri" w:hAnsi="Calibri" w:eastAsia="Calibri"/>
          <w:b/>
          <w:color w:val="11181C"/>
          <w:sz w:val="20"/>
          <w:lang w:val="en-GB"/>
        </w:rPr>
        <w:t>Order Exception Control</w:t>
      </w:r>
      <w:r>
        <w:rPr>
          <w:rFonts w:ascii="Calibri" w:hAnsi="Calibri" w:eastAsia="Calibri"/>
          <w:color w:val="11181C"/>
          <w:sz w:val="20"/>
          <w:lang w:val="en-GB"/>
        </w:rPr>
        <w:t>. A dashboard may display late orders; the operational pattern is the relationship between context, trigger, authority, evidence, decision, action and follow-up. The notation below prevents an interface or model from being mistaken for the pattern.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Element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Order Exception Control instantiation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C - Context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 distributor or manufacturer managing customer orders across inventory, warehouse and carrier systems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T - Trigger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 sequence of stock, fulfilment, cut-off, shipment or carrier signals raises the risk of a missed commitment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 - Actors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Supply-chain operations, warehouse, customer service, account owner and the systems that hold the evidence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I - Information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Order lines, stock, promised dates, warehouse events, carrier status, customer importance and prior interventions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D - Decision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Which order needs intervention now, why, and who is accountable?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X - Action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Assign ownership, expedite, replan, escalate or communicate with the customer within defined authority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O - Outcome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Earlier ownership and resolution, fewer avoidable misses, and a recorded explanation of what changed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G - Guardrails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Commercial thresholds, role permissions, escalation rules, evidence lineage and human approval for consequential actions</w:t>
            </w:r>
          </w:p>
        </w:tc>
      </w:tr>
    </w:tbl>
    <w:p>
      <w:pPr>
        <w:spacing w:after="20" w:before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shd w:fill="EDF4F6"/>
            <w:tcBorders>
              <w:top w:val="single" w:sz="6" w:color="18AFC9"/>
              <w:left w:val="single" w:sz="6" w:color="18AFC9"/>
              <w:bottom w:val="single" w:sz="6" w:color="18AFC9"/>
              <w:right w:val="single" w:sz="6" w:color="18AFC9"/>
              <w:insideH w:val="single" w:sz="6" w:color="18AFC9"/>
              <w:insideV w:val="single" w:sz="6" w:color="18AFC9"/>
            </w:tcBorders>
          </w:tcPr>
          <w:p>
            <w:pPr>
              <w:pStyle w:val="WPQuote"/>
              <w:jc w:val="left"/>
            </w:pPr>
            <w:r>
              <w:rPr>
                <w:rFonts w:ascii="Calibri" w:hAnsi="Calibri" w:eastAsia="Calibri"/>
                <w:color w:val="0B1E2D"/>
                <w:sz w:val="24"/>
                <w:lang w:val="en-GB"/>
              </w:rPr>
              <w:t>The product candidate is not ‘an exception dashboard’. It is a repeatable way to detect, decide, act and learn inside an accountable boundary.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00"/>
      </w:pPr>
      <w:r>
        <w:rPr>
          <w:rFonts w:ascii="Calibri" w:hAnsi="Calibri" w:eastAsia="Calibri"/>
          <w:b/>
          <w:color w:val="147E91"/>
          <w:sz w:val="17"/>
        </w:rPr>
        <w:t>03 / EVIDENCE LADDER AND CLAIM HIERARCHY</w:t>
      </w:r>
    </w:p>
    <w:p>
      <w:pPr>
        <w:pStyle w:val="Heading1"/>
        <w:pageBreakBefore w:val="0"/>
        <w:spacing w:after="240"/>
      </w:pPr>
      <w:r>
        <w:rPr>
          <w:rFonts w:ascii="Calibri" w:hAnsi="Calibri" w:eastAsia="Calibri"/>
          <w:color w:val="0B1E2D"/>
          <w:sz w:val="44"/>
          <w:lang w:val="en-GB"/>
        </w:rPr>
        <w:t>Evidence before commitment</w:t>
      </w:r>
    </w:p>
    <w:p>
      <w:pPr>
        <w:keepNext/>
        <w:spacing w:before="16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2177415"/>
            <wp:docPr id="2" name="Picture 2" descr="Seven evidence states connected by six arrows, from observed friction to a platform or venture optio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1774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WPCaption"/>
        <w:jc w:val="left"/>
      </w:pPr>
      <w:r>
        <w:rPr>
          <w:rFonts w:ascii="Calibri" w:hAnsi="Calibri" w:eastAsia="Calibri"/>
          <w:color w:val="5B6972"/>
          <w:sz w:val="17"/>
          <w:lang w:val="en-GB"/>
        </w:rPr>
        <w:t>The Pattern-to-Product evidence ladder. Every transition requires a stronger kind of proof.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944"/>
        <w:gridCol w:w="3672"/>
        <w:gridCol w:w="3744"/>
      </w:tblGrid>
      <w:tr>
        <w:trPr>
          <w:tblHeader w:val="true"/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Claim being made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Minimum useful evidence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What it does not yet prove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 system can exist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Working implementation in a bounded environment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Safe operation or outcome value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The outcome moved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Predeclared measure, baseline, threshold and observation period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Causal attribution or transfer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 core can transfer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Second qualified context with bounded adaptation and no governance regression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Independent demand or viable economics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 product should be owned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Demand, distribution, rights, supportability and economic evidence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 platform or venture</w:t>
            </w:r>
          </w:p>
        </w:tc>
      </w:tr>
    </w:tbl>
    <w:p>
      <w:pPr>
        <w:spacing w:after="20" w:before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shd w:fill="EDF4F6"/>
            <w:tcBorders>
              <w:top w:val="single" w:sz="6" w:color="18AFC9"/>
              <w:left w:val="single" w:sz="6" w:color="18AFC9"/>
              <w:bottom w:val="single" w:sz="6" w:color="18AFC9"/>
              <w:right w:val="single" w:sz="6" w:color="18AFC9"/>
              <w:insideH w:val="single" w:sz="6" w:color="18AFC9"/>
              <w:insideV w:val="single" w:sz="6" w:color="18AFC9"/>
            </w:tcBorders>
          </w:tcPr>
          <w:p>
            <w:pPr>
              <w:pStyle w:val="WPQuote"/>
              <w:jc w:val="left"/>
            </w:pPr>
            <w:r>
              <w:rPr>
                <w:rFonts w:ascii="Calibri" w:hAnsi="Calibri" w:eastAsia="Calibri"/>
                <w:color w:val="0B1E2D"/>
                <w:sz w:val="24"/>
                <w:lang w:val="en-GB"/>
              </w:rPr>
              <w:t>A demonstration proves existence. It does not, by itself, prove value, transferability or a market.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100"/>
      </w:pPr>
      <w:r>
        <w:rPr>
          <w:rFonts w:ascii="Calibri" w:hAnsi="Calibri" w:eastAsia="Calibri"/>
          <w:b/>
          <w:color w:val="147E91"/>
          <w:sz w:val="17"/>
        </w:rPr>
        <w:t>04 / CAPITAL ALLOCATION</w:t>
      </w:r>
    </w:p>
    <w:p>
      <w:pPr>
        <w:pStyle w:val="Heading1"/>
        <w:pageBreakBefore w:val="0"/>
        <w:spacing w:after="240"/>
      </w:pPr>
      <w:r>
        <w:rPr>
          <w:rFonts w:ascii="Calibri" w:hAnsi="Calibri" w:eastAsia="Calibri"/>
          <w:color w:val="0B1E2D"/>
          <w:sz w:val="44"/>
          <w:lang w:val="en-GB"/>
        </w:rPr>
        <w:t>The seven productisation gates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944"/>
        <w:gridCol w:w="3672"/>
        <w:gridCol w:w="3744"/>
      </w:tblGrid>
      <w:tr>
        <w:trPr>
          <w:tblHeader w:val="true"/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Gate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Decision question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Minimum evidence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1 — Recurrent problem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Does the same material structure recur?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Independent cases, stable decision/outcome anatomy and understood counterexamples.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2 — Demonstrated value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Has a working intervention produced a meaningful outcome?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Baseline, observation period, threshold, outcome and claim boundary.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3 — Stable reusable core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Can a common core serve a second qualified context?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Transfer evidence, bounded adaptation, explicit interfaces and versioned evaluation.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4 — Repeated demand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Do independent buyers choose the same outcome?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Paid commitment, procurement movement, renewal, repeated use or credible willingness to pay.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5 — Supportable operating model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Can we implement and support it repeatedly without exceptional founder intervention on every sale?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Repeatable deployment, service levels, observability, incident response, change control and bounded support burden.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6 — Safe ownership and governance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Do we have the rights and controls to own and operate it?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Provenance, contractual rights, data boundary, risk controls, human authority and exit arrangements.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7 — Credible distribution and economics</w:t>
            </w:r>
          </w:p>
        </w:tc>
        <w:tc>
          <w:tcPr>
            <w:tcW w:type="dxa" w:w="367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Can it reach, convert and retain customers at a coherent cost?</w:t>
            </w:r>
          </w:p>
        </w:tc>
        <w:tc>
          <w:tcPr>
            <w:tcW w:type="dxa" w:w="3744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Route to market, support model, product investment, horizon and credible cost ranges.</w:t>
            </w:r>
          </w:p>
        </w:tc>
      </w:tr>
    </w:tbl>
    <w:p>
      <w:pPr>
        <w:spacing w:after="20" w:before="0"/>
      </w:pPr>
    </w:p>
    <w:p>
      <w:pPr>
        <w:pStyle w:val="Heading2"/>
        <w:spacing w:before="200" w:after="100"/>
      </w:pPr>
      <w:r>
        <w:rPr>
          <w:rFonts w:ascii="Calibri" w:hAnsi="Calibri" w:eastAsia="Calibri"/>
          <w:color w:val="147E91"/>
          <w:sz w:val="27"/>
          <w:lang w:val="en-GB"/>
        </w:rPr>
        <w:t>Two kinds of gate</w:t>
      </w:r>
    </w:p>
    <w:p>
      <w:pPr>
        <w:spacing w:after="140" w:line="283" w:lineRule="auto"/>
      </w:pPr>
      <w:r>
        <w:rPr>
          <w:rFonts w:ascii="Calibri" w:hAnsi="Calibri" w:eastAsia="Calibri"/>
          <w:b/>
          <w:color w:val="11181C"/>
          <w:sz w:val="20"/>
          <w:lang w:val="en-GB"/>
        </w:rPr>
        <w:t>Gate 6 is hard:</w:t>
      </w:r>
      <w:r>
        <w:rPr>
          <w:rFonts w:ascii="Calibri" w:hAnsi="Calibri" w:eastAsia="Calibri"/>
          <w:color w:val="11181C"/>
          <w:sz w:val="20"/>
          <w:lang w:val="en-GB"/>
        </w:rPr>
        <w:t xml:space="preserve"> unsafe rights or governance block productisation. Other evidence gaps may enter incubation only when the gap is named, testable, owned and time-bounded. Expired or failed gaps lead to reuse or stop — not indefinite waiting.</w:t>
      </w:r>
    </w:p>
    <w:p>
      <w:pPr>
        <w:spacing w:after="140" w:line="283" w:lineRule="auto"/>
      </w:pPr>
      <w:r>
        <w:rPr>
          <w:rFonts w:ascii="Calibri" w:hAnsi="Calibri" w:eastAsia="Calibri"/>
          <w:color w:val="11181C"/>
          <w:sz w:val="19"/>
          <w:lang w:val="en-GB"/>
        </w:rPr>
        <w:t xml:space="preserve">Core reuse and adaptation are independent measures. The first concerns the share of qualified </w:t>
      </w:r>
      <w:r>
        <w:rPr>
          <w:rFonts w:ascii="Calibri" w:hAnsi="Calibri" w:eastAsia="Calibri"/>
          <w:b/>
          <w:color w:val="11181C"/>
          <w:sz w:val="19"/>
          <w:lang w:val="en-GB"/>
        </w:rPr>
        <w:t>functionality</w:t>
      </w:r>
      <w:r>
        <w:rPr>
          <w:rFonts w:ascii="Calibri" w:hAnsi="Calibri" w:eastAsia="Calibri"/>
          <w:color w:val="11181C"/>
          <w:sz w:val="19"/>
          <w:lang w:val="en-GB"/>
        </w:rPr>
        <w:t xml:space="preserve"> delivered by the core; the second concerns the share of delivery </w:t>
      </w:r>
      <w:r>
        <w:rPr>
          <w:rFonts w:ascii="Calibri" w:hAnsi="Calibri" w:eastAsia="Calibri"/>
          <w:b/>
          <w:color w:val="11181C"/>
          <w:sz w:val="19"/>
          <w:lang w:val="en-GB"/>
        </w:rPr>
        <w:t>effort</w:t>
      </w:r>
      <w:r>
        <w:rPr>
          <w:rFonts w:ascii="Calibri" w:hAnsi="Calibri" w:eastAsia="Calibri"/>
          <w:color w:val="11181C"/>
          <w:sz w:val="19"/>
          <w:lang w:val="en-GB"/>
        </w:rPr>
        <w:t xml:space="preserve"> consumed at the edge.</w:t>
      </w:r>
    </w:p>
    <w:p>
      <w:r>
        <w:br w:type="page"/>
      </w:r>
    </w:p>
    <w:p>
      <w:pPr>
        <w:spacing w:after="100"/>
      </w:pPr>
      <w:r>
        <w:rPr>
          <w:rFonts w:ascii="Calibri" w:hAnsi="Calibri" w:eastAsia="Calibri"/>
          <w:b/>
          <w:color w:val="147E91"/>
          <w:sz w:val="17"/>
        </w:rPr>
        <w:t>05 / THE GATE REVIEW</w:t>
      </w:r>
    </w:p>
    <w:p>
      <w:pPr>
        <w:pStyle w:val="Heading1"/>
        <w:pageBreakBefore w:val="0"/>
        <w:spacing w:after="240"/>
      </w:pPr>
      <w:r>
        <w:rPr>
          <w:rFonts w:ascii="Calibri" w:hAnsi="Calibri" w:eastAsia="Calibri"/>
          <w:color w:val="0B1E2D"/>
          <w:sz w:val="44"/>
          <w:lang w:val="en-GB"/>
        </w:rPr>
        <w:t>Four defensible decisions</w:t>
      </w:r>
    </w:p>
    <w:p>
      <w:pPr>
        <w:keepNext/>
        <w:spacing w:before="160" w:after="0"/>
        <w:jc w:val="center"/>
      </w:pPr>
      <w:r>
        <w:drawing>
          <wp:inline xmlns:a="http://schemas.openxmlformats.org/drawingml/2006/main" xmlns:pic="http://schemas.openxmlformats.org/drawingml/2006/picture">
            <wp:extent cx="5486400" cy="3578087"/>
            <wp:docPr id="3" name="Picture 3" descr="Decision tree beginning at Gate review and leading to Productise, Incubate, Reuse internally or Stop, with rights and governance as a hard gate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0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WPCaption"/>
        <w:jc w:val="left"/>
      </w:pPr>
      <w:r>
        <w:rPr>
          <w:rFonts w:ascii="Calibri" w:hAnsi="Calibri" w:eastAsia="Calibri"/>
          <w:color w:val="5B6972"/>
          <w:sz w:val="17"/>
          <w:lang w:val="en-GB"/>
        </w:rPr>
        <w:t>A gate review leads to Productise, Incubate, Reuse internally or Stop.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Decision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Meaning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Productise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All gates are supported; approve product ownership against a defined investment and review horizon.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Incubate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A named evidence gap has an accountable owner, predeclared test, budget and expiry date.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Reuse internally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The capability has legitimate repeat value, but the market claim is not supported.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Stop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The pattern, result, rights, governance, demand or economics do not justify further commitment.</w:t>
            </w:r>
          </w:p>
        </w:tc>
      </w:tr>
    </w:tbl>
    <w:p>
      <w:pPr>
        <w:spacing w:after="20" w:before="0"/>
      </w:pPr>
    </w:p>
    <w:p>
      <w:r>
        <w:br w:type="page"/>
      </w:r>
    </w:p>
    <w:p>
      <w:pPr>
        <w:spacing w:after="100"/>
      </w:pPr>
      <w:r>
        <w:rPr>
          <w:rFonts w:ascii="Calibri" w:hAnsi="Calibri" w:eastAsia="Calibri"/>
          <w:b/>
          <w:color w:val="147E91"/>
          <w:sz w:val="17"/>
        </w:rPr>
        <w:t>06 / A BOUNDED FIRST COMMITMENT</w:t>
      </w:r>
    </w:p>
    <w:p>
      <w:pPr>
        <w:pStyle w:val="Heading1"/>
        <w:pageBreakBefore w:val="0"/>
        <w:spacing w:after="240"/>
      </w:pPr>
      <w:r>
        <w:rPr>
          <w:rFonts w:ascii="Calibri" w:hAnsi="Calibri" w:eastAsia="Calibri"/>
          <w:color w:val="0B1E2D"/>
          <w:sz w:val="44"/>
          <w:lang w:val="en-GB"/>
        </w:rPr>
        <w:t>AI Opportunity Sprint</w:t>
      </w:r>
    </w:p>
    <w:p>
      <w:pPr>
        <w:spacing w:after="140" w:line="283" w:lineRule="auto"/>
      </w:pPr>
      <w:r>
        <w:rPr>
          <w:rFonts w:ascii="Calibri" w:hAnsi="Calibri" w:eastAsia="Calibri"/>
          <w:color w:val="11181C"/>
          <w:sz w:val="20"/>
          <w:lang w:val="en-GB"/>
        </w:rPr>
        <w:t xml:space="preserve">The Sprint is a 2–3 week diagnostic around </w:t>
      </w:r>
      <w:r>
        <w:rPr>
          <w:rFonts w:ascii="Calibri" w:hAnsi="Calibri" w:eastAsia="Calibri"/>
          <w:b/>
          <w:color w:val="11181C"/>
          <w:sz w:val="20"/>
          <w:lang w:val="en-GB"/>
        </w:rPr>
        <w:t>one recurring process and one bounded decision</w:t>
      </w:r>
      <w:r>
        <w:rPr>
          <w:rFonts w:ascii="Calibri" w:hAnsi="Calibri" w:eastAsia="Calibri"/>
          <w:color w:val="11181C"/>
          <w:sz w:val="20"/>
          <w:lang w:val="en-GB"/>
        </w:rPr>
        <w:t>. It is designed to produce a better-evidenced next decision, not to pre-sell a product build.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Commitment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Defined boundary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Owner and access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Named operating or financial owner; people closest to the work; agreed representative examples or available data.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Deliverables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Current-state diagnosis, Pattern Candidate Record, initial pattern anatomy, evidence and rights gaps, scoped recommendation.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Decision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Stop, investigate a named gap, reuse a capability, or scope a separate paid Proof of Value.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Fixed fee agreed in advance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Before work begins, a signed scope states the fixed professional fee, included work, exclusions, expenses, taxes, payment terms and the boundary to any later Proof of Value.</w:t>
            </w:r>
          </w:p>
        </w:tc>
      </w:tr>
    </w:tbl>
    <w:p>
      <w:pPr>
        <w:spacing w:after="20" w:before="0"/>
      </w:pPr>
    </w:p>
    <w:p>
      <w:pPr>
        <w:pStyle w:val="Heading2"/>
        <w:spacing w:before="200" w:after="100"/>
      </w:pPr>
      <w:r>
        <w:rPr>
          <w:rFonts w:ascii="Calibri" w:hAnsi="Calibri" w:eastAsia="Calibri"/>
          <w:color w:val="147E91"/>
          <w:sz w:val="27"/>
          <w:lang w:val="en-GB"/>
        </w:rPr>
        <w:t>Founding-partner sponsorship — exact terms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b/>
          <w:color w:val="11181C"/>
          <w:sz w:val="18"/>
          <w:lang w:val="en-GB"/>
        </w:rPr>
        <w:t>Who pays:</w:t>
      </w:r>
      <w:r>
        <w:rPr>
          <w:rFonts w:ascii="Calibri" w:hAnsi="Calibri" w:eastAsia="Calibri"/>
          <w:color w:val="11181C"/>
          <w:sz w:val="18"/>
          <w:lang w:val="en-GB"/>
        </w:rPr>
        <w:t xml:space="preserve"> SerialLabs may fund all or part of the professional fee from its own business-development budget; the signed scope states the amount or percentage funded.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b/>
          <w:color w:val="11181C"/>
          <w:sz w:val="18"/>
          <w:lang w:val="en-GB"/>
        </w:rPr>
        <w:t>Eligibility:</w:t>
      </w:r>
      <w:r>
        <w:rPr>
          <w:rFonts w:ascii="Calibri" w:hAnsi="Calibri" w:eastAsia="Calibri"/>
          <w:color w:val="11181C"/>
          <w:sz w:val="18"/>
          <w:lang w:val="en-GB"/>
        </w:rPr>
        <w:t xml:space="preserve"> one material process, an accountable operating or financial owner, timely access to representative evidence and participants, a credible decision, portfolio fit and capacity for method learning.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b/>
          <w:color w:val="11181C"/>
          <w:sz w:val="18"/>
          <w:lang w:val="en-GB"/>
        </w:rPr>
        <w:t>Limits:</w:t>
      </w:r>
      <w:r>
        <w:rPr>
          <w:rFonts w:ascii="Calibri" w:hAnsi="Calibri" w:eastAsia="Calibri"/>
          <w:color w:val="11181C"/>
          <w:sz w:val="18"/>
          <w:lang w:val="en-GB"/>
        </w:rPr>
        <w:t xml:space="preserve"> sponsorship is capacity- and budget-limited and closes when the founding cohort is full. Unless expressly included, it excludes client internal time, third-party software or data, travel, procurement charges and extraordinary data preparation.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b/>
          <w:color w:val="11181C"/>
          <w:sz w:val="18"/>
          <w:lang w:val="en-GB"/>
        </w:rPr>
        <w:t>No implied exchange:</w:t>
      </w:r>
      <w:r>
        <w:rPr>
          <w:rFonts w:ascii="Calibri" w:hAnsi="Calibri" w:eastAsia="Calibri"/>
          <w:color w:val="11181C"/>
          <w:sz w:val="18"/>
          <w:lang w:val="en-GB"/>
        </w:rPr>
        <w:t xml:space="preserve"> no obligation to provide publicity, transfer confidential data or IP, permit cross-client reuse, commission a Proof of Value, adopt a product or join a later productisation programme.</w:t>
      </w:r>
    </w:p>
    <w:p>
      <w:r>
        <w:br w:type="page"/>
      </w:r>
    </w:p>
    <w:p>
      <w:pPr>
        <w:spacing w:after="100"/>
      </w:pPr>
      <w:r>
        <w:rPr>
          <w:rFonts w:ascii="Calibri" w:hAnsi="Calibri" w:eastAsia="Calibri"/>
          <w:b/>
          <w:color w:val="147E91"/>
          <w:sz w:val="17"/>
        </w:rPr>
        <w:t>07 / BEFORE APPROVING THE NEXT COMMITMENT</w:t>
      </w:r>
    </w:p>
    <w:p>
      <w:pPr>
        <w:pStyle w:val="Heading1"/>
        <w:pageBreakBefore w:val="0"/>
        <w:spacing w:after="240"/>
      </w:pPr>
      <w:r>
        <w:rPr>
          <w:rFonts w:ascii="Calibri" w:hAnsi="Calibri" w:eastAsia="Calibri"/>
          <w:color w:val="0B1E2D"/>
          <w:sz w:val="44"/>
          <w:lang w:val="en-GB"/>
        </w:rPr>
        <w:t>Questions for the leadership team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  <w:jc w:val="left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COO lens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0B1E2D"/>
            <w:tcBorders>
              <w:top w:val="single" w:sz="5" w:color="CDDCE1"/>
              <w:left w:val="single" w:sz="5" w:color="CDDCE1"/>
              <w:bottom w:val="single" w:sz="5" w:color="CDDCE1"/>
              <w:right w:val="single" w:sz="5" w:color="CDDCE1"/>
              <w:insideH w:val="single" w:sz="5" w:color="CDDCE1"/>
              <w:insideV w:val="single" w:sz="5" w:color="CDDCE1"/>
            </w:tcBorders>
            <w:vAlign w:val="center"/>
          </w:tcPr>
          <w:p>
            <w:pPr>
              <w:spacing w:before="40" w:after="40"/>
            </w:pPr>
            <w:r>
              <w:rPr>
                <w:rFonts w:ascii="Calibri" w:hAnsi="Calibri" w:eastAsia="Calibri"/>
                <w:b/>
                <w:color w:val="FFFFFF"/>
                <w:sz w:val="17"/>
                <w:lang w:val="en-GB"/>
              </w:rPr>
              <w:t>CFO lens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Where does the same exception repeatedly consume judgement and coordination?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What is the current cost of delay, rework, failure and manual control?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Who owns the decision and who may authorise action?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Which baseline, threshold and observation period would make an investment decision credible?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Which variations are legitimate operating edges rather than defects?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FFFFF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What fixed investment and deployment horizon are being approved — and against which non-product counterfactual?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  <w:jc w:val="left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What must never be automated or broadened without review?</w:t>
            </w:r>
          </w:p>
        </w:tc>
        <w:tc>
          <w:tcPr>
            <w:tcW w:type="dxa" w:w="6768"/>
            <w:tcMar>
              <w:top w:w="80" w:type="dxa"/>
              <w:bottom w:w="80" w:type="dxa"/>
              <w:start w:w="120" w:type="dxa"/>
              <w:end w:w="120" w:type="dxa"/>
            </w:tcMar>
            <w:shd w:fill="F7FAFB"/>
            <w:tcBorders>
              <w:top w:val="single" w:sz="4" w:color="CDDCE1"/>
              <w:left w:val="single" w:sz="4" w:color="CDDCE1"/>
              <w:bottom w:val="single" w:sz="4" w:color="CDDCE1"/>
              <w:right w:val="single" w:sz="4" w:color="CDDCE1"/>
              <w:insideH w:val="single" w:sz="4" w:color="CDDCE1"/>
              <w:insideV w:val="single" w:sz="4" w:color="CDDCE1"/>
            </w:tcBorders>
            <w:vAlign w:val="center"/>
          </w:tcPr>
          <w:p>
            <w:pPr>
              <w:spacing w:before="20" w:after="20" w:line="259" w:lineRule="auto"/>
            </w:pPr>
            <w:r>
              <w:rPr>
                <w:rFonts w:ascii="Calibri" w:hAnsi="Calibri" w:eastAsia="Calibri"/>
                <w:color w:val="11181C"/>
                <w:sz w:val="16"/>
                <w:lang w:val="en-GB"/>
              </w:rPr>
              <w:t>Which support, assurance, integration and change costs remain after the prototype?</w:t>
            </w:r>
          </w:p>
        </w:tc>
      </w:tr>
    </w:tbl>
    <w:p>
      <w:pPr>
        <w:spacing w:after="20" w:before="0"/>
      </w:pPr>
    </w:p>
    <w:p>
      <w:pPr>
        <w:pStyle w:val="Heading2"/>
        <w:spacing w:before="200" w:after="100"/>
      </w:pPr>
      <w:r>
        <w:rPr>
          <w:rFonts w:ascii="Calibri" w:hAnsi="Calibri" w:eastAsia="Calibri"/>
          <w:color w:val="147E91"/>
          <w:sz w:val="27"/>
          <w:lang w:val="en-GB"/>
        </w:rPr>
        <w:t>For product and innovation leaders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color w:val="11181C"/>
          <w:sz w:val="19"/>
          <w:lang w:val="en-GB"/>
        </w:rPr>
        <w:t>Use operational deployments to discover real constraints, but prevent one early client from defining an incoherent core.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color w:val="11181C"/>
          <w:sz w:val="19"/>
          <w:lang w:val="en-GB"/>
        </w:rPr>
        <w:t>Test independent demand separately from delivery success; when demand can be tested first at lower cost and risk, market-first may dominate.</w:t>
      </w:r>
    </w:p>
    <w:p>
      <w:pPr>
        <w:numPr>
          <w:ilvl w:val="0"/>
          <w:numId w:val="15"/>
        </w:numPr>
        <w:spacing w:after="70" w:line="269" w:lineRule="auto"/>
      </w:pPr>
      <w:r>
        <w:rPr>
          <w:rFonts w:ascii="Calibri" w:hAnsi="Calibri" w:eastAsia="Calibri"/>
          <w:color w:val="11181C"/>
          <w:sz w:val="19"/>
          <w:lang w:val="en-GB"/>
        </w:rPr>
        <w:t>Treat every product claim as versioned evidence: system, population, period, metric, method, limitations and accountable approval.</w:t>
      </w:r>
    </w:p>
    <w:p>
      <w:pPr>
        <w:spacing w:before="140" w:after="140"/>
      </w:pPr>
      <w:r>
        <w:rPr>
          <w:rFonts w:ascii="Calibri" w:hAnsi="Calibri" w:eastAsia="Calibri"/>
          <w:color w:val="11181C"/>
          <w:sz w:val="19"/>
        </w:rPr>
        <w:t xml:space="preserve">The complete framework, evidence programme, gate records and references: </w:t>
      </w:r>
      <w:hyperlink r:id="rId14">
        <w:r>
          <w:rPr>
            <w:color w:val="147E91"/>
            <w:u w:val="single"/>
            <w:sz w:val="19"/>
            <w:szCs w:val="19"/>
          </w:rPr>
          <w:t>https://www.seriallabs.com/pattern-to-product</w:t>
        </w:r>
      </w:hyperlink>
      <w:r>
        <w:rPr>
          <w:rFonts w:ascii="Calibri" w:hAnsi="Calibri" w:eastAsia="Calibri"/>
          <w:color w:val="11181C"/>
          <w:sz w:val="19"/>
        </w:rPr>
        <w:t>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60"/>
      </w:tblGrid>
      <w:tr>
        <w:trPr>
          <w:tblHeader w:val="true"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shd w:fill="EDF4F6"/>
            <w:tcBorders>
              <w:top w:val="single" w:sz="6" w:color="18AFC9"/>
              <w:left w:val="single" w:sz="6" w:color="18AFC9"/>
              <w:bottom w:val="single" w:sz="6" w:color="18AFC9"/>
              <w:right w:val="single" w:sz="6" w:color="18AFC9"/>
              <w:insideH w:val="single" w:sz="6" w:color="18AFC9"/>
              <w:insideV w:val="single" w:sz="6" w:color="18AFC9"/>
            </w:tcBorders>
          </w:tcPr>
          <w:p>
            <w:pPr>
              <w:pStyle w:val="WPQuote"/>
              <w:jc w:val="left"/>
            </w:pPr>
            <w:r>
              <w:rPr>
                <w:rFonts w:ascii="Calibri" w:hAnsi="Calibri" w:eastAsia="Calibri"/>
                <w:color w:val="0B1E2D"/>
                <w:sz w:val="24"/>
                <w:lang w:val="en-GB"/>
              </w:rPr>
              <w:t>Start with the operating context, not a technology brief. A Sprint does not promise a product opportunity; it promises a better-evidenced next decision.</w:t>
            </w:r>
          </w:p>
        </w:tc>
      </w:tr>
    </w:tbl>
    <w:p>
      <w:pPr>
        <w:spacing w:after="40"/>
      </w:pPr>
    </w:p>
    <w:p>
      <w:pPr>
        <w:spacing w:before="160"/>
        <w:jc w:val="center"/>
      </w:pPr>
      <w:hyperlink r:id="rId22">
        <w:r>
          <w:rPr>
            <w:color w:val="147E91"/>
            <w:u w:val="single"/>
            <w:sz w:val="22"/>
            <w:szCs w:val="22"/>
          </w:rPr>
          <w:t>seriallabs.com</w:t>
        </w:r>
      </w:hyperlink>
      <w:r>
        <w:rPr>
          <w:rFonts w:ascii="Calibri" w:hAnsi="Calibri" w:eastAsia="Calibri"/>
          <w:b/>
          <w:color w:val="147E91"/>
          <w:sz w:val="22"/>
        </w:rPr>
        <w:t xml:space="preserve">  /  </w:t>
      </w:r>
      <w:hyperlink r:id="rId23">
        <w:r>
          <w:rPr>
            <w:color w:val="147E91"/>
            <w:u w:val="single"/>
            <w:sz w:val="22"/>
            <w:szCs w:val="22"/>
          </w:rPr>
          <w:t>info@seriallabs.com</w:t>
        </w:r>
      </w:hyperlink>
    </w:p>
    <w:sectPr w:rsidR="00FC693F" w:rsidRPr="0006063C" w:rsidSect="00034616">
      <w:headerReference w:type="default" r:id="rId9"/>
      <w:headerReference w:type="first" r:id="rId10"/>
      <w:footerReference w:type="default" r:id="rId11"/>
      <w:footerReference w:type="first" r:id="rId12"/>
      <w:pgSz w:w="12240" w:h="15840"/>
      <w:pgMar w:top="1440" w:right="1440" w:bottom="1440" w:left="1440" w:header="706" w:footer="7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9360" w:val="right"/>
      </w:tabs>
      <w:spacing w:before="0"/>
    </w:pPr>
    <w:r>
      <w:rPr>
        <w:rFonts w:ascii="Calibri" w:hAnsi="Calibri" w:eastAsia="Calibri"/>
        <w:color w:val="5B6972"/>
        <w:sz w:val="17"/>
      </w:rPr>
      <w:t>seriallabs.com</w:t>
    </w:r>
    <w:r>
      <w:tab/>
    </w:r>
    <w:r>
      <w:rPr>
        <w:rFonts w:ascii="Calibri" w:hAnsi="Calibri" w:eastAsia="Calibri"/>
        <w:color w:val="5B6972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 w:eastAsia="Calibri"/>
        <w:b/>
        <w:color w:val="5B6972"/>
        <w:sz w:val="17"/>
      </w:rPr>
      <w:t>SERIALLABS / AUGUST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9360" w:val="right"/>
      </w:tabs>
      <w:spacing w:after="0"/>
      <w:jc w:val="left"/>
    </w:pPr>
    <w:r>
      <w:rPr>
        <w:rFonts w:ascii="Calibri" w:hAnsi="Calibri" w:eastAsia="Calibri"/>
        <w:b/>
        <w:color w:val="5B6972"/>
        <w:sz w:val="15"/>
      </w:rPr>
      <w:t>SERIALLABS / PATTERN-TO-PRODUCT</w:t>
    </w:r>
    <w:r>
      <w:rPr>
        <w:rFonts w:ascii="Calibri" w:hAnsi="Calibri" w:eastAsia="Calibri"/>
        <w:color w:val="5B6972"/>
        <w:sz w:val="15"/>
      </w:rPr>
      <w:tab/>
      <w:t>EXECUTIVE FIELD GUIDE / VERSION 1.1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4">
    <w:abstractNumId w:val="13"/>
  </w:num>
  <w:abstractNum w:abstractNumId="14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40" w:line="300" w:lineRule="auto"/>
      <w:jc w:val="both"/>
    </w:pPr>
    <w:rPr>
      <w:rFonts w:ascii="Calibri" w:hAnsi="Calibri"/>
      <w:color w:val="11181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0B1E2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00" w:line="252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147E91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B1E2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PQuote">
    <w:name w:val="WP Quote"/>
    <w:pPr>
      <w:spacing w:before="200" w:after="240" w:line="288" w:lineRule="auto"/>
      <w:ind w:left="490" w:right="360"/>
    </w:pPr>
    <w:rPr>
      <w:rFonts w:ascii="Georgia" w:hAnsi="Georgia"/>
      <w:i/>
      <w:color w:val="0B1E2D"/>
      <w:sz w:val="25"/>
    </w:rPr>
  </w:style>
  <w:style w:type="paragraph" w:customStyle="1" w:styleId="WPCaption">
    <w:name w:val="WP Caption"/>
    <w:pPr>
      <w:keepNext/>
      <w:spacing w:before="80" w:after="200"/>
    </w:pPr>
    <w:rPr>
      <w:rFonts w:ascii="Calibri" w:hAnsi="Calibri"/>
      <w:color w:val="5B6972"/>
      <w:sz w:val="17"/>
    </w:rPr>
  </w:style>
  <w:style w:type="paragraph" w:customStyle="1" w:styleId="WPReferences">
    <w:name w:val="WP References"/>
    <w:pPr>
      <w:spacing w:after="90" w:line="269" w:lineRule="auto"/>
      <w:ind w:left="403" w:hanging="403"/>
    </w:pPr>
    <w:rPr>
      <w:rFonts w:ascii="Calibri" w:hAnsi="Calibri"/>
      <w:color w:val="11181C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hyperlink" Target="https://www.seriallabs.com/pattern-to-product" TargetMode="External"/><Relationship Id="rId17" Type="http://schemas.openxmlformats.org/officeDocument/2006/relationships/image" Target="media/image2.png"/><Relationship Id="rId20" Type="http://schemas.openxmlformats.org/officeDocument/2006/relationships/image" Target="media/image5.png"/><Relationship Id="rId22" Type="http://schemas.openxmlformats.org/officeDocument/2006/relationships/hyperlink" Target="https://www.seriallabs.com/" TargetMode="External"/><Relationship Id="rId23" Type="http://schemas.openxmlformats.org/officeDocument/2006/relationships/hyperlink" Target="mailto:info@seriallab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Pattern-to-Product Executive Field Guide</dc:title>
  <dc:subject>A decision guide for COO and CFO leaders</dc:subject>
  <dc:creator>SerialLabs</dc:creator>
  <cp:keywords>Pattern-to-Product, COO, CFO, AI Opportunity Sprint, productisation, evidence, governance</cp:keywords>
  <dc:description>SerialLabs executive field guide, Version 1.1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